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r w:rsidRPr="004C715C">
        <w:rPr>
          <w:b/>
          <w:sz w:val="28"/>
          <w:szCs w:val="28"/>
        </w:rPr>
        <w:t>Metodologie de concurs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</w:t>
      </w:r>
      <w:r w:rsidR="00A0470E">
        <w:rPr>
          <w:lang w:val="ro-RO"/>
        </w:rPr>
        <w:t xml:space="preserve">unei </w:t>
      </w:r>
      <w:r w:rsidRPr="003D48E4">
        <w:rPr>
          <w:lang w:val="ro-RO"/>
        </w:rPr>
        <w:t>funcții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Activitatea Comisiei de concurs se desfășoară în limitele stabilite prin Regulamentul de desfășurare a concursului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 xml:space="preserve">în termen de </w:t>
      </w:r>
      <w:r w:rsidR="00566C19">
        <w:rPr>
          <w:lang w:val="ro-RO"/>
        </w:rPr>
        <w:t>30</w:t>
      </w:r>
      <w:r w:rsidR="00227654">
        <w:rPr>
          <w:lang w:val="ro-RO"/>
        </w:rPr>
        <w:t xml:space="preserve">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566C19">
        <w:rPr>
          <w:lang w:val="ro-RO"/>
        </w:rPr>
        <w:t>două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566C19">
        <w:rPr>
          <w:lang w:val="ro-RO"/>
        </w:rPr>
        <w:t>.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interviul</w:t>
      </w:r>
      <w:r w:rsidR="00B1524B">
        <w:rPr>
          <w:lang w:val="ro-RO"/>
        </w:rPr>
        <w:t xml:space="preserve"> – candidații vor răspunde întrebărilor adresate de Comisia de concurs.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lastRenderedPageBreak/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</w:t>
      </w:r>
      <w:r w:rsidR="00077665">
        <w:rPr>
          <w:lang w:val="ro-RO"/>
        </w:rPr>
        <w:t>i</w:t>
      </w:r>
      <w:r w:rsidRPr="003D48E4">
        <w:rPr>
          <w:lang w:val="ro-RO"/>
        </w:rPr>
        <w:t>tmetică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în cadrul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FD2EDA" w:rsidRDefault="00FD2EDA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 w:rsidR="00125146"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7552A6">
        <w:rPr>
          <w:b/>
          <w:lang w:val="ro-RO"/>
        </w:rPr>
        <w:t>inginer în cadrul</w:t>
      </w:r>
      <w:r w:rsidRPr="00125146">
        <w:rPr>
          <w:b/>
          <w:lang w:val="ro-RO"/>
        </w:rPr>
        <w:t xml:space="preserve"> </w:t>
      </w:r>
      <w:r w:rsidR="00125146" w:rsidRPr="00125146">
        <w:rPr>
          <w:b/>
          <w:lang w:val="ro-RO"/>
        </w:rPr>
        <w:t>INCDFP</w:t>
      </w: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7552A6">
        <w:rPr>
          <w:lang w:val="ro-RO"/>
        </w:rPr>
        <w:t>inginer</w:t>
      </w:r>
      <w:r w:rsidRPr="00125146">
        <w:rPr>
          <w:lang w:val="ro-RO"/>
        </w:rPr>
        <w:t xml:space="preserve">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 xml:space="preserve">, făcând dovada cu </w:t>
      </w:r>
      <w:r w:rsidR="00A075DD">
        <w:rPr>
          <w:lang w:val="ro-RO"/>
        </w:rPr>
        <w:t xml:space="preserve">copie de pe </w:t>
      </w:r>
      <w:r w:rsidR="0088274A">
        <w:rPr>
          <w:lang w:val="ro-RO"/>
        </w:rPr>
        <w:t>carte</w:t>
      </w:r>
      <w:r w:rsidR="00A075DD">
        <w:rPr>
          <w:lang w:val="ro-RO"/>
        </w:rPr>
        <w:t>a</w:t>
      </w:r>
      <w:r w:rsidR="0088274A">
        <w:rPr>
          <w:lang w:val="ro-RO"/>
        </w:rPr>
        <w:t xml:space="preserve"> de identitate sau pașaport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superioare</w:t>
      </w:r>
      <w:r w:rsidR="002550F9">
        <w:rPr>
          <w:lang w:val="ro-RO"/>
        </w:rPr>
        <w:t xml:space="preserve"> </w:t>
      </w:r>
      <w:r w:rsidR="000C7887">
        <w:rPr>
          <w:lang w:val="ro-RO"/>
        </w:rPr>
        <w:t>în domeni</w:t>
      </w:r>
      <w:r w:rsidR="00566C19">
        <w:rPr>
          <w:lang w:val="ro-RO"/>
        </w:rPr>
        <w:t>ul</w:t>
      </w:r>
      <w:r w:rsidR="000C7887">
        <w:rPr>
          <w:lang w:val="ro-RO"/>
        </w:rPr>
        <w:t xml:space="preserve"> electronică</w:t>
      </w:r>
      <w:r w:rsidR="00A25D88">
        <w:rPr>
          <w:lang w:val="ro-RO"/>
        </w:rPr>
        <w:t>/electronică aplicativă</w:t>
      </w:r>
      <w:r w:rsidR="002C3295">
        <w:rPr>
          <w:lang w:val="ro-RO"/>
        </w:rPr>
        <w:t>, dovedit cu diplomă de licență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A25D88" w:rsidRDefault="00A25D88" w:rsidP="00A25D88">
      <w:pPr>
        <w:pStyle w:val="ListParagraph"/>
        <w:numPr>
          <w:ilvl w:val="0"/>
          <w:numId w:val="14"/>
        </w:numPr>
        <w:spacing w:after="200" w:line="276" w:lineRule="auto"/>
      </w:pPr>
      <w:r>
        <w:t>are cunoștiințe privind Tratatul de Interzicere a Exploziilor Nucleare și funcționarea și întreținerea stațiilor seismice în sistemul de monitorizare al Tratatului;</w:t>
      </w:r>
    </w:p>
    <w:p w:rsidR="00A25D88" w:rsidRDefault="00A25D88" w:rsidP="00A25D88">
      <w:pPr>
        <w:pStyle w:val="ListParagraph"/>
        <w:numPr>
          <w:ilvl w:val="0"/>
          <w:numId w:val="14"/>
        </w:numPr>
        <w:spacing w:after="200" w:line="276" w:lineRule="auto"/>
      </w:pPr>
      <w:r>
        <w:t>are cunoștiințe de limba engleză (scris, citit, vorbit);</w:t>
      </w:r>
    </w:p>
    <w:p w:rsidR="00A25D88" w:rsidRDefault="00A25D88" w:rsidP="00A25D88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are cunoștiințe de lucru pe calculator; </w:t>
      </w:r>
    </w:p>
    <w:p w:rsidR="00A25D88" w:rsidRDefault="00A25D88" w:rsidP="00A25D88">
      <w:pPr>
        <w:pStyle w:val="ListParagraph"/>
        <w:numPr>
          <w:ilvl w:val="0"/>
          <w:numId w:val="14"/>
        </w:numPr>
        <w:spacing w:after="200" w:line="276" w:lineRule="auto"/>
      </w:pPr>
      <w:r>
        <w:t>deține permis de conducere categoria B;</w:t>
      </w:r>
    </w:p>
    <w:p w:rsidR="00A25D88" w:rsidRDefault="00A25D88" w:rsidP="00A25D88">
      <w:pPr>
        <w:pStyle w:val="ListParagraph"/>
        <w:numPr>
          <w:ilvl w:val="0"/>
          <w:numId w:val="14"/>
        </w:numPr>
        <w:spacing w:after="200" w:line="276" w:lineRule="auto"/>
      </w:pPr>
      <w:r>
        <w:t>prezintă rezistență la condiții de stress;</w:t>
      </w:r>
    </w:p>
    <w:p w:rsidR="00A25D88" w:rsidRDefault="00A25D88" w:rsidP="00A25D88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t>adaptabilitate la lucrul în condiții de izolare;</w:t>
      </w:r>
    </w:p>
    <w:p w:rsidR="006C30D0" w:rsidRDefault="006C30D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pe baza studiilor de specialitate, corespunde descrierii postului și este apt </w:t>
      </w:r>
      <w:r w:rsidR="008B6328">
        <w:rPr>
          <w:lang w:val="ro-RO"/>
        </w:rPr>
        <w:t>pentru</w:t>
      </w:r>
      <w:r>
        <w:rPr>
          <w:lang w:val="ro-RO"/>
        </w:rPr>
        <w:t xml:space="preserve"> îndeplini</w:t>
      </w:r>
      <w:r w:rsidR="008B6328">
        <w:rPr>
          <w:lang w:val="ro-RO"/>
        </w:rPr>
        <w:t>rea</w:t>
      </w:r>
      <w:r>
        <w:rPr>
          <w:lang w:val="ro-RO"/>
        </w:rPr>
        <w:t xml:space="preserve"> atribuțiil</w:t>
      </w:r>
      <w:r w:rsidR="008B6328">
        <w:rPr>
          <w:lang w:val="ro-RO"/>
        </w:rPr>
        <w:t>or</w:t>
      </w:r>
      <w:r>
        <w:rPr>
          <w:lang w:val="ro-RO"/>
        </w:rPr>
        <w:t xml:space="preserve"> precizate în Anexa 3 - Fișa postului, parte integrantă din prezenta metodologie; </w:t>
      </w:r>
    </w:p>
    <w:p w:rsidR="00A13CD9" w:rsidRDefault="00A13CD9" w:rsidP="0012514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să nu fi fost sancționat disciplinar pentru încălcarea dispozițiilor legale în activitatea desfășurată, dovada făcându-se pe bază de adeverință eliberată de </w:t>
      </w:r>
      <w:r w:rsidR="0088274A">
        <w:rPr>
          <w:lang w:val="ro-RO"/>
        </w:rPr>
        <w:t>ultimul angajator</w:t>
      </w:r>
      <w:r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951C9D">
        <w:rPr>
          <w:b/>
          <w:lang w:val="ro-RO"/>
        </w:rPr>
        <w:t>inginer în cadrul</w:t>
      </w:r>
      <w:r w:rsidRPr="00A13CD9">
        <w:rPr>
          <w:b/>
          <w:lang w:val="ro-RO"/>
        </w:rPr>
        <w:t xml:space="preserve"> INCDFP</w:t>
      </w:r>
    </w:p>
    <w:p w:rsidR="00DB052C" w:rsidRDefault="00DB052C" w:rsidP="00A13CD9">
      <w:pPr>
        <w:jc w:val="both"/>
        <w:rPr>
          <w:b/>
          <w:lang w:val="ro-RO"/>
        </w:rPr>
      </w:pP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 xml:space="preserve">știgător pentru ocuparea funcției de </w:t>
      </w:r>
      <w:r w:rsidR="00951C9D">
        <w:rPr>
          <w:lang w:val="ro-RO"/>
        </w:rPr>
        <w:t>inginer în cadrul</w:t>
      </w:r>
      <w:r>
        <w:rPr>
          <w:lang w:val="ro-RO"/>
        </w:rPr>
        <w:t xml:space="preserve"> INCDFP,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privind organizarea concursului</w:t>
      </w:r>
      <w:bookmarkStart w:id="0" w:name="_GoBack"/>
      <w:bookmarkEnd w:id="0"/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A075DD">
        <w:rPr>
          <w:lang w:val="ro-RO"/>
        </w:rPr>
        <w:t>30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A075DD" w:rsidRDefault="00A075DD" w:rsidP="000C72E8">
      <w:pPr>
        <w:jc w:val="both"/>
        <w:rPr>
          <w:b/>
          <w:lang w:val="ro-RO"/>
        </w:rPr>
      </w:pPr>
    </w:p>
    <w:p w:rsidR="00A075DD" w:rsidRDefault="00A075DD" w:rsidP="000C72E8">
      <w:pPr>
        <w:jc w:val="both"/>
        <w:rPr>
          <w:b/>
          <w:lang w:val="ro-RO"/>
        </w:rPr>
      </w:pPr>
    </w:p>
    <w:p w:rsidR="00B43FA8" w:rsidRDefault="000C72E8" w:rsidP="00A075DD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:rsidR="007B5B6D" w:rsidRPr="00A075DD" w:rsidRDefault="007B5B6D" w:rsidP="00A075DD">
      <w:pPr>
        <w:jc w:val="both"/>
        <w:rPr>
          <w:b/>
          <w:lang w:val="ro-RO"/>
        </w:rPr>
      </w:pPr>
      <w:r w:rsidRPr="00A075DD">
        <w:rPr>
          <w:lang w:val="ro-RO"/>
        </w:rPr>
        <w:t xml:space="preserve">Selecția dosarelor constă în verificarea documentelor </w:t>
      </w:r>
      <w:r w:rsidR="00A075DD" w:rsidRPr="00A075DD">
        <w:rPr>
          <w:lang w:val="ro-RO"/>
        </w:rPr>
        <w:t>necesare</w:t>
      </w:r>
      <w:r w:rsidRPr="00A075DD">
        <w:rPr>
          <w:lang w:val="ro-RO"/>
        </w:rPr>
        <w:t xml:space="preserve"> pentru înscrierea la concurs și a îndeplinirii condițiilor specificate</w:t>
      </w:r>
      <w:r w:rsidR="00DD6F9E">
        <w:rPr>
          <w:lang w:val="ro-RO"/>
        </w:rPr>
        <w:t>.</w:t>
      </w:r>
    </w:p>
    <w:p w:rsidR="00B43FA8" w:rsidRPr="007B5B6D" w:rsidRDefault="007B5B6D" w:rsidP="00A075DD">
      <w:pPr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7B5B6D">
        <w:rPr>
          <w:lang w:val="ro-RO"/>
        </w:rPr>
        <w:t>trei</w:t>
      </w:r>
      <w:r>
        <w:rPr>
          <w:lang w:val="ro-RO"/>
        </w:rPr>
        <w:t xml:space="preserve"> </w:t>
      </w:r>
      <w:r w:rsidR="007B5B6D">
        <w:rPr>
          <w:lang w:val="ro-RO"/>
        </w:rPr>
        <w:t>variante</w:t>
      </w:r>
      <w:r>
        <w:rPr>
          <w:lang w:val="ro-RO"/>
        </w:rPr>
        <w:t xml:space="preserve"> de subiecte, care v</w:t>
      </w:r>
      <w:r w:rsidR="007B5B6D">
        <w:rPr>
          <w:lang w:val="ro-RO"/>
        </w:rPr>
        <w:t>or</w:t>
      </w:r>
      <w:r>
        <w:rPr>
          <w:lang w:val="ro-RO"/>
        </w:rPr>
        <w:t xml:space="preserve"> fi introdus</w:t>
      </w:r>
      <w:r w:rsidR="007B5B6D">
        <w:rPr>
          <w:lang w:val="ro-RO"/>
        </w:rPr>
        <w:t xml:space="preserve">e, fiecare,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>desfășurarea probei scrise, se va extrage un</w:t>
      </w:r>
      <w:r w:rsidR="00E25D75">
        <w:rPr>
          <w:lang w:val="ro-RO"/>
        </w:rPr>
        <w:t>a</w:t>
      </w:r>
      <w:r>
        <w:rPr>
          <w:lang w:val="ro-RO"/>
        </w:rPr>
        <w:t xml:space="preserve"> din cele trei variante de subiecte.</w:t>
      </w:r>
    </w:p>
    <w:p w:rsidR="00E25D75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Plicul conținând subiecte</w:t>
      </w:r>
      <w:r w:rsidR="007B5B6D">
        <w:rPr>
          <w:lang w:val="ro-RO"/>
        </w:rPr>
        <w:t>le</w:t>
      </w:r>
      <w:r>
        <w:rPr>
          <w:lang w:val="ro-RO"/>
        </w:rPr>
        <w:t xml:space="preserve"> extras</w:t>
      </w:r>
      <w:r w:rsidR="007B5B6D">
        <w:rPr>
          <w:lang w:val="ro-RO"/>
        </w:rPr>
        <w:t>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“anulat”</w:t>
      </w:r>
      <w:r w:rsidR="00A81262">
        <w:t>,</w:t>
      </w:r>
      <w:r>
        <w:t xml:space="preserve"> pe lucrare.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 xml:space="preserve">După susținerea probei scrise, candidații </w:t>
      </w:r>
      <w:r w:rsidR="00213E4C">
        <w:rPr>
          <w:lang w:val="ro-RO"/>
        </w:rPr>
        <w:t>care obțin cel puțin nota 7,</w:t>
      </w:r>
      <w:r>
        <w:rPr>
          <w:lang w:val="ro-RO"/>
        </w:rPr>
        <w:t xml:space="preserve"> vor susține proba interviului.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154D86" w:rsidRDefault="00B43FA8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 w:rsidR="00DF77DC"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 w:rsidR="00DF77DC">
        <w:rPr>
          <w:lang w:val="ro-RO"/>
        </w:rPr>
        <w:t xml:space="preserve">candidatului </w:t>
      </w:r>
      <w:r w:rsidR="00154D86">
        <w:rPr>
          <w:lang w:val="ro-RO"/>
        </w:rPr>
        <w:t>vor fi înregistrate</w:t>
      </w:r>
      <w:r w:rsidR="008E3C8A">
        <w:rPr>
          <w:lang w:val="ro-RO"/>
        </w:rPr>
        <w:t xml:space="preserve"> cu echipament audio</w:t>
      </w:r>
      <w:r w:rsidR="00154D86">
        <w:rPr>
          <w:lang w:val="ro-RO"/>
        </w:rPr>
        <w:t xml:space="preserve">. </w:t>
      </w:r>
      <w:r w:rsidR="008E3C8A">
        <w:rPr>
          <w:lang w:val="ro-RO"/>
        </w:rPr>
        <w:t>Înregistrările se păstrează până la afișarea rezultatului final al concursului.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 proba interviului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 xml:space="preserve">, </w:t>
      </w:r>
      <w:r w:rsidR="00DC33A5">
        <w:rPr>
          <w:lang w:val="ro-RO"/>
        </w:rPr>
        <w:t xml:space="preserve">se va afișa la sediul </w:t>
      </w:r>
      <w:r w:rsidRPr="00F951F0">
        <w:rPr>
          <w:lang w:val="ro-RO"/>
        </w:rPr>
        <w:t>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DD6F9E">
        <w:rPr>
          <w:lang w:val="ro-RO"/>
        </w:rPr>
        <w:t>2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INCDFP</w:t>
      </w:r>
      <w:r>
        <w:rPr>
          <w:lang w:val="ro-RO"/>
        </w:rPr>
        <w:t>.</w:t>
      </w:r>
    </w:p>
    <w:p w:rsidR="00A81262" w:rsidRDefault="00A81262" w:rsidP="00A81262">
      <w:pPr>
        <w:jc w:val="both"/>
        <w:rPr>
          <w:lang w:val="ro-RO"/>
        </w:rPr>
      </w:pPr>
    </w:p>
    <w:p w:rsidR="00A81262" w:rsidRPr="00A81262" w:rsidRDefault="00A81262" w:rsidP="00A81262">
      <w:pPr>
        <w:jc w:val="both"/>
        <w:rPr>
          <w:lang w:val="ro-RO"/>
        </w:rPr>
      </w:pPr>
    </w:p>
    <w:p w:rsidR="001D381A" w:rsidRPr="00B55FBA" w:rsidRDefault="001D381A" w:rsidP="005A44A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="00916DDB"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9</w:t>
      </w:r>
      <w:r w:rsidR="00B55FBA" w:rsidRPr="00B55FBA">
        <w:rPr>
          <w:b/>
          <w:lang w:val="ro-RO"/>
        </w:rPr>
        <w:t>.</w:t>
      </w:r>
    </w:p>
    <w:p w:rsidR="005A44A7" w:rsidRDefault="007F0992" w:rsidP="005A44A7">
      <w:pPr>
        <w:jc w:val="both"/>
        <w:rPr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125146" w:rsidRPr="00B55FBA" w:rsidRDefault="00B55FBA" w:rsidP="00B55FBA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 w:rsidR="009F339D"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:rsidR="00B55FBA" w:rsidRPr="00B55FBA" w:rsidRDefault="00F951F0" w:rsidP="00F951F0">
      <w:pPr>
        <w:jc w:val="both"/>
        <w:rPr>
          <w:lang w:val="ro-RO"/>
        </w:rPr>
      </w:pPr>
      <w:r>
        <w:rPr>
          <w:lang w:val="ro-RO"/>
        </w:rPr>
        <w:t>Rezultatul final</w:t>
      </w:r>
      <w:r w:rsidR="002307BC">
        <w:rPr>
          <w:lang w:val="ro-RO"/>
        </w:rPr>
        <w:t xml:space="preserve"> al concursului va</w:t>
      </w:r>
      <w:r w:rsidR="00B55FBA">
        <w:rPr>
          <w:lang w:val="ro-RO"/>
        </w:rPr>
        <w:t xml:space="preserve"> fi afișat la sediul și pe pagina web a INCDFP.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DD6F9E" w:rsidRDefault="00DD6F9E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6C30D0" w:rsidRPr="006C30D0" w:rsidRDefault="006C30D0" w:rsidP="006C30D0">
      <w:pPr>
        <w:ind w:left="720"/>
        <w:jc w:val="right"/>
        <w:rPr>
          <w:b/>
          <w:lang w:val="ro-RO"/>
        </w:rPr>
      </w:pPr>
      <w:r w:rsidRPr="006C30D0">
        <w:rPr>
          <w:b/>
          <w:lang w:val="ro-RO"/>
        </w:rPr>
        <w:lastRenderedPageBreak/>
        <w:t>Anexa 3</w:t>
      </w:r>
    </w:p>
    <w:p w:rsidR="00DD6F9E" w:rsidRPr="00D57F2C" w:rsidRDefault="00DD6F9E" w:rsidP="00DD6F9E">
      <w:pPr>
        <w:jc w:val="center"/>
        <w:rPr>
          <w:b/>
          <w:sz w:val="28"/>
          <w:szCs w:val="28"/>
        </w:rPr>
      </w:pPr>
      <w:r w:rsidRPr="00D57F2C">
        <w:rPr>
          <w:b/>
          <w:sz w:val="28"/>
          <w:szCs w:val="28"/>
        </w:rPr>
        <w:t xml:space="preserve">FIŞA POSTULUI </w:t>
      </w:r>
    </w:p>
    <w:p w:rsidR="00DD6F9E" w:rsidRPr="00D57F2C" w:rsidRDefault="00DD6F9E" w:rsidP="00DD6F9E">
      <w:pPr>
        <w:jc w:val="center"/>
        <w:rPr>
          <w:b/>
          <w:sz w:val="28"/>
          <w:szCs w:val="28"/>
          <w:lang w:val="it-IT"/>
        </w:rPr>
      </w:pPr>
      <w:r w:rsidRPr="00D57F2C">
        <w:rPr>
          <w:b/>
          <w:sz w:val="28"/>
          <w:szCs w:val="28"/>
          <w:lang w:val="it-IT"/>
        </w:rPr>
        <w:t xml:space="preserve">Anexa la CIM  </w:t>
      </w:r>
    </w:p>
    <w:p w:rsidR="00DD6F9E" w:rsidRPr="00D57F2C" w:rsidRDefault="00DD6F9E" w:rsidP="00DD6F9E">
      <w:pPr>
        <w:jc w:val="center"/>
        <w:rPr>
          <w:szCs w:val="20"/>
        </w:rPr>
      </w:pPr>
      <w:r w:rsidRPr="00D57F2C">
        <w:rPr>
          <w:b/>
          <w:sz w:val="28"/>
          <w:szCs w:val="28"/>
          <w:lang w:val="it-IT"/>
        </w:rPr>
        <w:t xml:space="preserve">Nr.             /             </w:t>
      </w:r>
    </w:p>
    <w:p w:rsidR="00DD6F9E" w:rsidRPr="00D57F2C" w:rsidRDefault="00DD6F9E" w:rsidP="00DD6F9E">
      <w:pPr>
        <w:spacing w:after="120"/>
        <w:jc w:val="both"/>
        <w:rPr>
          <w:szCs w:val="20"/>
        </w:rPr>
      </w:pPr>
      <w:r w:rsidRPr="00D57F2C">
        <w:rPr>
          <w:b/>
          <w:szCs w:val="20"/>
        </w:rPr>
        <w:t>1. Descrierea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8066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Denumire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Departament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t>Laborator:</w:t>
            </w:r>
            <w:r>
              <w:t xml:space="preserve"> </w:t>
            </w:r>
            <w:r w:rsidRPr="00D57F2C">
              <w:t>Centrul National de Date – cod 300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Post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rPr>
                <w:szCs w:val="20"/>
              </w:rPr>
              <w:t>Inginer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Titular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b/>
                <w:i/>
                <w:szCs w:val="20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Locaţia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rPr>
                <w:szCs w:val="20"/>
              </w:rPr>
              <w:t>Statia seismica Muntele Rosu – Cheia (MLR)</w:t>
            </w:r>
          </w:p>
        </w:tc>
      </w:tr>
    </w:tbl>
    <w:p w:rsidR="00DD6F9E" w:rsidRPr="00D57F2C" w:rsidRDefault="00DD6F9E" w:rsidP="00DD6F9E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3915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Aprobat</w:t>
            </w:r>
          </w:p>
        </w:tc>
        <w:tc>
          <w:tcPr>
            <w:tcW w:w="4186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Avizat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</w:pPr>
            <w:r w:rsidRPr="00D57F2C">
              <w:t>Director General</w:t>
            </w: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</w:pPr>
            <w:r w:rsidRPr="00D57F2C">
              <w:t xml:space="preserve">Sef Laborator 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lang w:val="it-IT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lang w:val="it-IT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</w:tbl>
    <w:p w:rsidR="00A0470E" w:rsidRDefault="00A0470E" w:rsidP="00DD6F9E">
      <w:pPr>
        <w:spacing w:before="120" w:after="120"/>
        <w:jc w:val="both"/>
        <w:rPr>
          <w:b/>
          <w:szCs w:val="20"/>
        </w:rPr>
      </w:pPr>
    </w:p>
    <w:p w:rsidR="00DD6F9E" w:rsidRPr="00D57F2C" w:rsidRDefault="00DD6F9E" w:rsidP="00DD6F9E">
      <w:pPr>
        <w:spacing w:before="120" w:after="120"/>
        <w:jc w:val="both"/>
        <w:rPr>
          <w:b/>
          <w:szCs w:val="20"/>
        </w:rPr>
      </w:pPr>
      <w:r w:rsidRPr="00D57F2C">
        <w:rPr>
          <w:b/>
          <w:szCs w:val="20"/>
        </w:rPr>
        <w:t>2. Specificitatea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Sudii necesare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rPr>
                <w:szCs w:val="20"/>
              </w:rPr>
              <w:t>Studii superioare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Vechime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Aptitudini speciale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 xml:space="preserve">- Constinciozitate, seriozitate si disciplina in munca; </w:t>
            </w:r>
          </w:p>
          <w:p w:rsidR="00DD6F9E" w:rsidRPr="00D57F2C" w:rsidRDefault="00DD6F9E" w:rsidP="00AC04B8">
            <w:pPr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>- Rezistenta la conditii de stres</w:t>
            </w:r>
          </w:p>
          <w:p w:rsidR="00DD6F9E" w:rsidRPr="00D57F2C" w:rsidRDefault="00DD6F9E" w:rsidP="00AC04B8">
            <w:pPr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>- Buna integrare in munca de echipa</w:t>
            </w:r>
          </w:p>
          <w:p w:rsidR="00DD6F9E" w:rsidRPr="00D57F2C" w:rsidRDefault="00DD6F9E" w:rsidP="00AC04B8">
            <w:pPr>
              <w:jc w:val="both"/>
              <w:rPr>
                <w:szCs w:val="20"/>
                <w:lang w:val="it-IT"/>
              </w:rPr>
            </w:pPr>
            <w:r w:rsidRPr="00D57F2C">
              <w:rPr>
                <w:lang w:val="it-IT"/>
              </w:rPr>
              <w:t xml:space="preserve">- Adaptare rapida la situatii inedite </w:t>
            </w:r>
          </w:p>
        </w:tc>
      </w:tr>
    </w:tbl>
    <w:p w:rsidR="00A0470E" w:rsidRDefault="00A0470E" w:rsidP="00DD6F9E">
      <w:pPr>
        <w:spacing w:before="120" w:after="120"/>
        <w:jc w:val="both"/>
        <w:rPr>
          <w:b/>
          <w:szCs w:val="20"/>
        </w:rPr>
      </w:pPr>
    </w:p>
    <w:p w:rsidR="00DD6F9E" w:rsidRPr="00D57F2C" w:rsidRDefault="00DD6F9E" w:rsidP="00DD6F9E">
      <w:pPr>
        <w:spacing w:before="120" w:after="120"/>
        <w:jc w:val="both"/>
        <w:rPr>
          <w:b/>
          <w:szCs w:val="20"/>
        </w:rPr>
      </w:pPr>
      <w:r w:rsidRPr="00D57F2C">
        <w:rPr>
          <w:b/>
          <w:szCs w:val="20"/>
        </w:rPr>
        <w:t>3. Relaţiile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614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Ierarhice</w:t>
            </w:r>
          </w:p>
        </w:tc>
        <w:tc>
          <w:tcPr>
            <w:tcW w:w="1920" w:type="dxa"/>
            <w:shd w:val="clear" w:color="auto" w:fill="auto"/>
          </w:tcPr>
          <w:p w:rsidR="00DD6F9E" w:rsidRPr="00D57F2C" w:rsidRDefault="00DD6F9E" w:rsidP="00AC04B8">
            <w:pPr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- de subordonare</w:t>
            </w:r>
          </w:p>
        </w:tc>
        <w:tc>
          <w:tcPr>
            <w:tcW w:w="614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lang w:val="fr-FR"/>
              </w:rPr>
            </w:pPr>
            <w:r w:rsidRPr="00D57F2C">
              <w:rPr>
                <w:lang w:val="fr-FR"/>
              </w:rPr>
              <w:t xml:space="preserve">Este subordonat Sefului de Laborator 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D6F9E" w:rsidRPr="00D57F2C" w:rsidRDefault="00DD6F9E" w:rsidP="00AC04B8">
            <w:pPr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- în subordine</w:t>
            </w:r>
          </w:p>
        </w:tc>
        <w:tc>
          <w:tcPr>
            <w:tcW w:w="6146" w:type="dxa"/>
            <w:shd w:val="clear" w:color="auto" w:fill="auto"/>
          </w:tcPr>
          <w:p w:rsidR="00DD6F9E" w:rsidRPr="00D57F2C" w:rsidRDefault="00EB5D16" w:rsidP="00AC04B8">
            <w:pPr>
              <w:jc w:val="both"/>
            </w:pPr>
            <w:r>
              <w:t>Da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De colaborare</w:t>
            </w:r>
          </w:p>
        </w:tc>
        <w:tc>
          <w:tcPr>
            <w:tcW w:w="1920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D6F9E" w:rsidRPr="00D57F2C" w:rsidRDefault="00DD6F9E" w:rsidP="00AC04B8">
            <w:pPr>
              <w:jc w:val="both"/>
            </w:pPr>
            <w:r w:rsidRPr="00D57F2C">
              <w:t xml:space="preserve">Cu toti angajatii INCDFP; personalul CTBTO 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De reprezentare</w:t>
            </w:r>
          </w:p>
        </w:tc>
        <w:tc>
          <w:tcPr>
            <w:tcW w:w="1920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</w:tbl>
    <w:p w:rsidR="00A0470E" w:rsidRDefault="00A0470E" w:rsidP="00DD6F9E">
      <w:pPr>
        <w:spacing w:before="120" w:after="120"/>
        <w:jc w:val="both"/>
        <w:rPr>
          <w:b/>
          <w:szCs w:val="20"/>
        </w:rPr>
      </w:pPr>
    </w:p>
    <w:p w:rsidR="00DD6F9E" w:rsidRPr="00D57F2C" w:rsidRDefault="00DD6F9E" w:rsidP="00DD6F9E">
      <w:pPr>
        <w:spacing w:before="120" w:after="120"/>
        <w:jc w:val="both"/>
        <w:rPr>
          <w:b/>
          <w:szCs w:val="20"/>
        </w:rPr>
      </w:pPr>
      <w:r w:rsidRPr="00D57F2C">
        <w:rPr>
          <w:b/>
          <w:szCs w:val="20"/>
        </w:rPr>
        <w:lastRenderedPageBreak/>
        <w:t>4. Obiectivele generale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D6F9E" w:rsidRPr="00D57F2C" w:rsidTr="00AC04B8">
        <w:trPr>
          <w:trHeight w:val="347"/>
        </w:trPr>
        <w:tc>
          <w:tcPr>
            <w:tcW w:w="9854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  <w:lang w:val="it-IT"/>
              </w:rPr>
            </w:pPr>
            <w:r w:rsidRPr="00D57F2C">
              <w:rPr>
                <w:lang w:val="it-IT"/>
              </w:rPr>
              <w:t>1. Raspunde de intretinerea si functionarea statiei seismice Muntele Rosu  (in regim de tura)</w:t>
            </w:r>
          </w:p>
        </w:tc>
      </w:tr>
    </w:tbl>
    <w:p w:rsidR="00A0470E" w:rsidRDefault="00A0470E" w:rsidP="00DD6F9E">
      <w:pPr>
        <w:spacing w:before="120" w:after="120"/>
        <w:jc w:val="both"/>
        <w:rPr>
          <w:b/>
          <w:szCs w:val="20"/>
        </w:rPr>
      </w:pPr>
    </w:p>
    <w:p w:rsidR="00DD6F9E" w:rsidRPr="00D57F2C" w:rsidRDefault="00DD6F9E" w:rsidP="00DD6F9E">
      <w:pPr>
        <w:spacing w:before="120" w:after="120"/>
        <w:jc w:val="both"/>
        <w:rPr>
          <w:b/>
          <w:szCs w:val="20"/>
        </w:rPr>
      </w:pPr>
      <w:r w:rsidRPr="00D57F2C">
        <w:rPr>
          <w:b/>
          <w:szCs w:val="20"/>
        </w:rPr>
        <w:t>5. Obiectivele specifice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Atribuţii (sarcini)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A0470E">
            <w:pPr>
              <w:spacing w:after="0"/>
              <w:jc w:val="both"/>
              <w:rPr>
                <w:bCs/>
              </w:rPr>
            </w:pPr>
            <w:r w:rsidRPr="00D57F2C">
              <w:rPr>
                <w:bCs/>
              </w:rPr>
              <w:t>1. Intretinerea echipamentelor seismice din dotarea statiei conform manualului de Operare pentru statiile seismice din cadrul Sistemului International de Monitorizare al CTBTO</w:t>
            </w:r>
            <w:r w:rsidR="00A0470E">
              <w:rPr>
                <w:bCs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it-IT"/>
              </w:rPr>
            </w:pPr>
            <w:r w:rsidRPr="00D57F2C">
              <w:rPr>
                <w:bCs/>
                <w:lang w:val="it-IT"/>
              </w:rPr>
              <w:t>2. Informeaza sefii ierarhic superiori despre problemele aparute in functionarea statiei si ia masuri pentru remedierea lor</w:t>
            </w:r>
            <w:r w:rsidR="00A0470E">
              <w:rPr>
                <w:bCs/>
                <w:lang w:val="it-IT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it-IT"/>
              </w:rPr>
            </w:pPr>
            <w:r w:rsidRPr="00D57F2C">
              <w:rPr>
                <w:bCs/>
                <w:lang w:val="it-IT"/>
              </w:rPr>
              <w:t>3. Raspunde la solicitarile primite de la CTBTO privind functionarea statiei si a echipamentelor de comunicatie</w:t>
            </w:r>
            <w:r w:rsidR="00A0470E">
              <w:rPr>
                <w:bCs/>
                <w:lang w:val="it-IT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it-IT"/>
              </w:rPr>
            </w:pPr>
            <w:r w:rsidRPr="00D57F2C">
              <w:rPr>
                <w:bCs/>
                <w:lang w:val="it-IT"/>
              </w:rPr>
              <w:t>4. Asigurarea cu piese de schimb si materiale</w:t>
            </w:r>
            <w:r w:rsidR="00A0470E">
              <w:rPr>
                <w:bCs/>
                <w:lang w:val="it-IT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pt-BR"/>
              </w:rPr>
            </w:pPr>
            <w:r w:rsidRPr="00D57F2C">
              <w:rPr>
                <w:bCs/>
                <w:lang w:val="pt-BR"/>
              </w:rPr>
              <w:t>5. Depanare aparatura seismica</w:t>
            </w:r>
            <w:r w:rsidR="00A0470E">
              <w:rPr>
                <w:bCs/>
                <w:lang w:val="pt-BR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pt-BR"/>
              </w:rPr>
            </w:pPr>
            <w:r w:rsidRPr="00D57F2C">
              <w:rPr>
                <w:bCs/>
                <w:lang w:val="pt-BR"/>
              </w:rPr>
              <w:t>6. Intretinerea echipamentelor de calcul</w:t>
            </w:r>
            <w:r w:rsidR="00A0470E">
              <w:rPr>
                <w:bCs/>
                <w:lang w:val="pt-BR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pt-BR"/>
              </w:rPr>
            </w:pPr>
            <w:r w:rsidRPr="00D57F2C">
              <w:rPr>
                <w:bCs/>
                <w:lang w:val="pt-BR"/>
              </w:rPr>
              <w:t>7. Intretinerea sistemului de comunicatie</w:t>
            </w:r>
            <w:r w:rsidR="00A0470E">
              <w:rPr>
                <w:bCs/>
                <w:lang w:val="pt-BR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pt-BR"/>
              </w:rPr>
            </w:pPr>
            <w:r w:rsidRPr="00D57F2C">
              <w:rPr>
                <w:bCs/>
                <w:lang w:val="pt-BR"/>
              </w:rPr>
              <w:t>8. Asigurarea permanentei la statie (supraveghere functionare echipamente, paza)</w:t>
            </w:r>
            <w:r w:rsidR="00A0470E">
              <w:rPr>
                <w:bCs/>
                <w:lang w:val="pt-BR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pt-BR"/>
              </w:rPr>
            </w:pPr>
            <w:r w:rsidRPr="00D57F2C">
              <w:rPr>
                <w:bCs/>
                <w:lang w:val="pt-BR"/>
              </w:rPr>
              <w:t>9. Prelucrarea preliminara a datelor</w:t>
            </w:r>
            <w:r w:rsidR="00A0470E">
              <w:rPr>
                <w:bCs/>
                <w:lang w:val="pt-BR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it-IT"/>
              </w:rPr>
            </w:pPr>
            <w:r w:rsidRPr="00D57F2C">
              <w:rPr>
                <w:bCs/>
                <w:lang w:val="it-IT"/>
              </w:rPr>
              <w:t>10. Mentine in stare de functionare aparatura de masurare a campului magnetic</w:t>
            </w:r>
            <w:r w:rsidR="00A0470E">
              <w:rPr>
                <w:bCs/>
                <w:lang w:val="it-IT"/>
              </w:rPr>
              <w:t>.</w:t>
            </w:r>
          </w:p>
          <w:p w:rsidR="00DD6F9E" w:rsidRPr="00D57F2C" w:rsidRDefault="00DD6F9E" w:rsidP="00A0470E">
            <w:pPr>
              <w:spacing w:after="0"/>
              <w:jc w:val="both"/>
              <w:rPr>
                <w:bCs/>
                <w:lang w:val="it-IT"/>
              </w:rPr>
            </w:pPr>
            <w:r w:rsidRPr="00D57F2C">
              <w:rPr>
                <w:bCs/>
                <w:lang w:val="it-IT"/>
              </w:rPr>
              <w:t>11. Participa la activitati de cercetare si elaboreaza lucrari pe baza rezultatelor obtinute</w:t>
            </w:r>
            <w:r w:rsidR="00A0470E">
              <w:rPr>
                <w:bCs/>
                <w:lang w:val="it-IT"/>
              </w:rPr>
              <w:t>.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center"/>
              <w:rPr>
                <w:i/>
                <w:szCs w:val="20"/>
                <w:lang w:val="it-IT"/>
              </w:rPr>
            </w:pPr>
            <w:r w:rsidRPr="00D57F2C">
              <w:rPr>
                <w:i/>
                <w:szCs w:val="20"/>
                <w:lang w:val="it-IT"/>
              </w:rPr>
              <w:t>Responsabilităţi</w:t>
            </w:r>
          </w:p>
        </w:tc>
        <w:tc>
          <w:tcPr>
            <w:tcW w:w="8066" w:type="dxa"/>
            <w:shd w:val="clear" w:color="auto" w:fill="auto"/>
          </w:tcPr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>Raspunde in fata sefilor ierarhic superiori pentru activitatea desfasurata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D57F2C">
              <w:rPr>
                <w:bCs/>
                <w:lang w:val="it-IT"/>
              </w:rPr>
              <w:t>Raspunde de functionarea statiei conform manualului de Operare pentru statiile seismice ce fac parte din Sistemul International de Monitorizare al  CTBTO</w:t>
            </w:r>
            <w:r w:rsidRPr="00D57F2C">
              <w:rPr>
                <w:rFonts w:cs="Arial"/>
                <w:bCs/>
                <w:lang w:val="it-IT"/>
              </w:rPr>
              <w:t xml:space="preserve"> 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 xml:space="preserve">   Raspunde conform reglementarilor in vigoare pentru neindeplinirea sau indeplinirea defectuoasa a sarcinilor ce-i revin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 xml:space="preserve">   Raspunde de bunurile materiale luate pe inventar propriu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 xml:space="preserve">   Respecta regulile de protectia muncii si P.S.I.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 xml:space="preserve">   Comunica imediat orice situatie de munca considerata un pericol, precum si orice deficienta a sistemelor de protectie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es-ES"/>
              </w:rPr>
            </w:pPr>
            <w:r w:rsidRPr="00D57F2C">
              <w:rPr>
                <w:lang w:val="es-ES"/>
              </w:rPr>
              <w:t xml:space="preserve">   Respecta R.O.I. al INCDFP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lang w:val="es-ES"/>
              </w:rPr>
            </w:pPr>
            <w:r w:rsidRPr="00D57F2C">
              <w:rPr>
                <w:lang w:val="es-ES"/>
              </w:rPr>
              <w:t>Respecta secretul profesional si se ingrijeste de pastrarea documentelor cu care intra in contact</w:t>
            </w:r>
          </w:p>
          <w:p w:rsidR="00DD6F9E" w:rsidRPr="00D57F2C" w:rsidRDefault="00DD6F9E" w:rsidP="00DD6F9E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D57F2C">
              <w:rPr>
                <w:lang w:val="it-IT"/>
              </w:rPr>
              <w:t>Realizeaza sarcinile suplimentare primite de la sefii ierarhic superiori</w:t>
            </w:r>
          </w:p>
        </w:tc>
      </w:tr>
    </w:tbl>
    <w:p w:rsidR="00DD6F9E" w:rsidRPr="00D57F2C" w:rsidRDefault="00DD6F9E" w:rsidP="00DD6F9E">
      <w:pPr>
        <w:spacing w:before="120" w:after="120"/>
        <w:jc w:val="both"/>
        <w:rPr>
          <w:b/>
          <w:szCs w:val="20"/>
        </w:rPr>
      </w:pPr>
      <w:r w:rsidRPr="00D57F2C">
        <w:rPr>
          <w:b/>
          <w:szCs w:val="20"/>
        </w:rPr>
        <w:t>6. Prevederi speciale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D6F9E" w:rsidRPr="00D57F2C" w:rsidTr="00AC04B8">
        <w:trPr>
          <w:trHeight w:val="610"/>
        </w:trPr>
        <w:tc>
          <w:tcPr>
            <w:tcW w:w="9854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b/>
                <w:szCs w:val="20"/>
              </w:rPr>
            </w:pPr>
            <w:r w:rsidRPr="00D57F2C">
              <w:t>Activitatea va fi evaluata la sfarsitul fiecarui an de comisia de evaluare stiintifica a institutului, conform criteriilor de evaluare adoptate</w:t>
            </w:r>
          </w:p>
        </w:tc>
      </w:tr>
    </w:tbl>
    <w:p w:rsidR="00DD6F9E" w:rsidRPr="00D57F2C" w:rsidRDefault="00DD6F9E" w:rsidP="00DD6F9E">
      <w:pPr>
        <w:spacing w:before="120" w:after="120"/>
        <w:jc w:val="both"/>
        <w:rPr>
          <w:lang w:val="it-IT"/>
        </w:rPr>
      </w:pPr>
      <w:r w:rsidRPr="00D57F2C">
        <w:rPr>
          <w:lang w:val="it-IT"/>
        </w:rPr>
        <w:t>Am primit un exemplar din fişa postului şi îmi asum responsabilitatea îndeplinirii sarcinilor ce îmi revin şi consecinţele din nerespectarea acestora.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D6F9E" w:rsidRPr="00D57F2C" w:rsidTr="00AC04B8">
        <w:tc>
          <w:tcPr>
            <w:tcW w:w="1788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  <w:lang w:val="it-IT"/>
              </w:rPr>
            </w:pPr>
          </w:p>
        </w:tc>
        <w:tc>
          <w:tcPr>
            <w:tcW w:w="3915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Întocmit</w:t>
            </w:r>
          </w:p>
        </w:tc>
        <w:tc>
          <w:tcPr>
            <w:tcW w:w="4186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Titular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rPr>
                <w:szCs w:val="20"/>
              </w:rPr>
              <w:t>Sef de laborator</w:t>
            </w: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  <w:r w:rsidRPr="00D57F2C">
              <w:rPr>
                <w:szCs w:val="20"/>
              </w:rPr>
              <w:t>Inginer</w:t>
            </w: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  <w:tr w:rsidR="00DD6F9E" w:rsidRPr="00D57F2C" w:rsidTr="00AC04B8">
        <w:tc>
          <w:tcPr>
            <w:tcW w:w="1788" w:type="dxa"/>
            <w:shd w:val="clear" w:color="auto" w:fill="E0E0E0"/>
          </w:tcPr>
          <w:p w:rsidR="00DD6F9E" w:rsidRPr="00D57F2C" w:rsidRDefault="00DD6F9E" w:rsidP="00AC04B8">
            <w:pPr>
              <w:jc w:val="center"/>
              <w:rPr>
                <w:i/>
                <w:szCs w:val="20"/>
              </w:rPr>
            </w:pPr>
            <w:r w:rsidRPr="00D57F2C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D6F9E" w:rsidRPr="00D57F2C" w:rsidRDefault="00DD6F9E" w:rsidP="00AC04B8">
            <w:pPr>
              <w:jc w:val="both"/>
              <w:rPr>
                <w:szCs w:val="20"/>
              </w:rPr>
            </w:pPr>
          </w:p>
        </w:tc>
      </w:tr>
    </w:tbl>
    <w:p w:rsidR="00195D69" w:rsidRDefault="00195D69" w:rsidP="00A0470E">
      <w:pPr>
        <w:jc w:val="both"/>
        <w:rPr>
          <w:lang w:val="ro-RO"/>
        </w:rPr>
      </w:pPr>
    </w:p>
    <w:sectPr w:rsidR="00195D69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10" w:rsidRDefault="00CD0010" w:rsidP="004C715C">
      <w:pPr>
        <w:spacing w:after="0" w:line="240" w:lineRule="auto"/>
      </w:pPr>
      <w:r>
        <w:separator/>
      </w:r>
    </w:p>
  </w:endnote>
  <w:endnote w:type="continuationSeparator" w:id="0">
    <w:p w:rsidR="00CD0010" w:rsidRDefault="00CD0010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10" w:rsidRDefault="00CD0010" w:rsidP="004C715C">
      <w:pPr>
        <w:spacing w:after="0" w:line="240" w:lineRule="auto"/>
      </w:pPr>
      <w:r>
        <w:separator/>
      </w:r>
    </w:p>
  </w:footnote>
  <w:footnote w:type="continuationSeparator" w:id="0">
    <w:p w:rsidR="00CD0010" w:rsidRDefault="00CD0010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9758F8"/>
    <w:multiLevelType w:val="hybridMultilevel"/>
    <w:tmpl w:val="5D889F72"/>
    <w:lvl w:ilvl="0" w:tplc="706C83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495B"/>
    <w:multiLevelType w:val="hybridMultilevel"/>
    <w:tmpl w:val="E54C0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6"/>
  </w:num>
  <w:num w:numId="8">
    <w:abstractNumId w:val="31"/>
  </w:num>
  <w:num w:numId="9">
    <w:abstractNumId w:val="35"/>
  </w:num>
  <w:num w:numId="10">
    <w:abstractNumId w:val="12"/>
  </w:num>
  <w:num w:numId="11">
    <w:abstractNumId w:val="27"/>
  </w:num>
  <w:num w:numId="12">
    <w:abstractNumId w:val="29"/>
  </w:num>
  <w:num w:numId="13">
    <w:abstractNumId w:val="15"/>
  </w:num>
  <w:num w:numId="14">
    <w:abstractNumId w:val="20"/>
  </w:num>
  <w:num w:numId="15">
    <w:abstractNumId w:val="38"/>
  </w:num>
  <w:num w:numId="16">
    <w:abstractNumId w:val="17"/>
  </w:num>
  <w:num w:numId="17">
    <w:abstractNumId w:val="34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30"/>
  </w:num>
  <w:num w:numId="29">
    <w:abstractNumId w:val="9"/>
  </w:num>
  <w:num w:numId="30">
    <w:abstractNumId w:val="32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7"/>
  </w:num>
  <w:num w:numId="37">
    <w:abstractNumId w:val="39"/>
  </w:num>
  <w:num w:numId="38">
    <w:abstractNumId w:val="1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2"/>
    <w:rsid w:val="000004CB"/>
    <w:rsid w:val="000170A4"/>
    <w:rsid w:val="00077665"/>
    <w:rsid w:val="000A32EB"/>
    <w:rsid w:val="000C72E8"/>
    <w:rsid w:val="000C7887"/>
    <w:rsid w:val="000D3B94"/>
    <w:rsid w:val="000D64E6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213E4C"/>
    <w:rsid w:val="00220B5E"/>
    <w:rsid w:val="002262B1"/>
    <w:rsid w:val="00227654"/>
    <w:rsid w:val="002307BC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332D"/>
    <w:rsid w:val="00310E48"/>
    <w:rsid w:val="00333DC9"/>
    <w:rsid w:val="00335C87"/>
    <w:rsid w:val="00335D01"/>
    <w:rsid w:val="003669E7"/>
    <w:rsid w:val="003737E5"/>
    <w:rsid w:val="00377CC7"/>
    <w:rsid w:val="003B5F0E"/>
    <w:rsid w:val="003D48E4"/>
    <w:rsid w:val="003D6D10"/>
    <w:rsid w:val="00464B94"/>
    <w:rsid w:val="00477059"/>
    <w:rsid w:val="00490144"/>
    <w:rsid w:val="004A5639"/>
    <w:rsid w:val="004B2E60"/>
    <w:rsid w:val="004C715C"/>
    <w:rsid w:val="004E3360"/>
    <w:rsid w:val="004E7780"/>
    <w:rsid w:val="0050696F"/>
    <w:rsid w:val="00523046"/>
    <w:rsid w:val="005254D7"/>
    <w:rsid w:val="00531E74"/>
    <w:rsid w:val="00557007"/>
    <w:rsid w:val="00566C19"/>
    <w:rsid w:val="005A44A7"/>
    <w:rsid w:val="005B2152"/>
    <w:rsid w:val="005E14D4"/>
    <w:rsid w:val="005E355B"/>
    <w:rsid w:val="00681113"/>
    <w:rsid w:val="006C30D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D1FAF"/>
    <w:rsid w:val="007F0992"/>
    <w:rsid w:val="00820961"/>
    <w:rsid w:val="0088274A"/>
    <w:rsid w:val="008B6328"/>
    <w:rsid w:val="008C1324"/>
    <w:rsid w:val="008C5B86"/>
    <w:rsid w:val="008E3C8A"/>
    <w:rsid w:val="00916DDB"/>
    <w:rsid w:val="00923ADE"/>
    <w:rsid w:val="009331CD"/>
    <w:rsid w:val="00951C9D"/>
    <w:rsid w:val="00963289"/>
    <w:rsid w:val="009E59D2"/>
    <w:rsid w:val="009F339D"/>
    <w:rsid w:val="00A0470E"/>
    <w:rsid w:val="00A075DD"/>
    <w:rsid w:val="00A13CD9"/>
    <w:rsid w:val="00A25D88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83CF7"/>
    <w:rsid w:val="00B97D73"/>
    <w:rsid w:val="00C53D7A"/>
    <w:rsid w:val="00C61F57"/>
    <w:rsid w:val="00C916CC"/>
    <w:rsid w:val="00CD0010"/>
    <w:rsid w:val="00CE0EAD"/>
    <w:rsid w:val="00D351A0"/>
    <w:rsid w:val="00D4533D"/>
    <w:rsid w:val="00DB052C"/>
    <w:rsid w:val="00DB2D84"/>
    <w:rsid w:val="00DC33A5"/>
    <w:rsid w:val="00DD6DBE"/>
    <w:rsid w:val="00DD6F9E"/>
    <w:rsid w:val="00DE232C"/>
    <w:rsid w:val="00DE685C"/>
    <w:rsid w:val="00DF77DC"/>
    <w:rsid w:val="00E10E53"/>
    <w:rsid w:val="00E10E91"/>
    <w:rsid w:val="00E25D75"/>
    <w:rsid w:val="00E53FA4"/>
    <w:rsid w:val="00EA0F33"/>
    <w:rsid w:val="00EB5443"/>
    <w:rsid w:val="00EB5D16"/>
    <w:rsid w:val="00F123E5"/>
    <w:rsid w:val="00F17E14"/>
    <w:rsid w:val="00F213E0"/>
    <w:rsid w:val="00F951F0"/>
    <w:rsid w:val="00FB303E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50E5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9BE6-5875-4F13-B558-53AA761F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14</cp:revision>
  <cp:lastPrinted>2016-03-22T13:40:00Z</cp:lastPrinted>
  <dcterms:created xsi:type="dcterms:W3CDTF">2016-06-15T10:36:00Z</dcterms:created>
  <dcterms:modified xsi:type="dcterms:W3CDTF">2016-06-22T11:24:00Z</dcterms:modified>
</cp:coreProperties>
</file>